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0031A3"/>
    <w:p w:rsidR="00C51609" w:rsidRPr="00C51609" w:rsidRDefault="000031A3"/>
    <w:p w:rsidR="00C51609" w:rsidRPr="00C51609" w:rsidRDefault="000031A3"/>
    <w:p w:rsidR="00C51609" w:rsidRPr="00C51609" w:rsidRDefault="000031A3">
      <w:bookmarkStart w:id="0" w:name="_GoBack"/>
      <w:bookmarkEnd w:id="0"/>
    </w:p>
    <w:p w:rsidR="00C51609" w:rsidRPr="00C51609" w:rsidRDefault="000031A3"/>
    <w:p w:rsidR="00C51609" w:rsidRPr="00C51609" w:rsidRDefault="000031A3"/>
    <w:p w:rsidR="00C51609" w:rsidRPr="00C51609" w:rsidRDefault="000031A3"/>
    <w:p w:rsidR="00C51609" w:rsidRPr="00C51609" w:rsidRDefault="000031A3"/>
    <w:p w:rsidR="00C51609" w:rsidRPr="00C51609" w:rsidRDefault="000031A3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AF78D7" w:rsidRDefault="00014535" w:rsidP="00AF78D7">
      <w:pPr>
        <w:tabs>
          <w:tab w:val="left" w:pos="1276"/>
        </w:tabs>
        <w:ind w:right="-2"/>
        <w:jc w:val="both"/>
        <w:rPr>
          <w:rFonts w:eastAsia="SimSun"/>
          <w:sz w:val="16"/>
          <w:szCs w:val="16"/>
          <w:lang w:eastAsia="ru-RU" w:bidi="hi-IN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</w:t>
      </w:r>
      <w:r w:rsidR="007F2BC6">
        <w:rPr>
          <w:rFonts w:ascii="Times New Roman" w:hAnsi="Times New Roman" w:cs="Times New Roman"/>
          <w:sz w:val="28"/>
          <w:szCs w:val="28"/>
          <w:lang w:eastAsia="ar-SA"/>
        </w:rPr>
        <w:t>рального закона от 18.07.2011 № 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 xml:space="preserve">223-ФЗ </w:t>
      </w:r>
      <w:r w:rsidR="00D078EE" w:rsidRPr="00D078EE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AF78D7" w:rsidRPr="00AF78D7">
        <w:rPr>
          <w:rFonts w:ascii="Times New Roman" w:hAnsi="Times New Roman" w:cs="Times New Roman"/>
          <w:sz w:val="28"/>
          <w:szCs w:val="28"/>
        </w:rPr>
        <w:t>«</w:t>
      </w:r>
      <w:r w:rsidR="000031A3" w:rsidRPr="000031A3">
        <w:rPr>
          <w:rFonts w:ascii="Times New Roman" w:hAnsi="Times New Roman" w:cs="Times New Roman"/>
          <w:sz w:val="28"/>
          <w:szCs w:val="28"/>
        </w:rPr>
        <w:t>Выполнение работ горизонтально-направленного бурения для выполнения технологического присоединения к централизованной системе водоснабжения объекта: «Белогорский район, с. Зеленогорское. Перекладка водопровода ПЭ100 Д</w:t>
      </w:r>
      <w:r w:rsidR="000031A3">
        <w:rPr>
          <w:rFonts w:ascii="Times New Roman" w:hAnsi="Times New Roman" w:cs="Times New Roman"/>
          <w:sz w:val="28"/>
          <w:szCs w:val="28"/>
        </w:rPr>
        <w:t>у 110 мм, протяжённостью 1600 м</w:t>
      </w:r>
      <w:r w:rsidR="00D60A53" w:rsidRPr="00D60A53">
        <w:rPr>
          <w:rFonts w:ascii="Times New Roman" w:hAnsi="Times New Roman" w:cs="Times New Roman"/>
          <w:sz w:val="28"/>
          <w:szCs w:val="28"/>
        </w:rPr>
        <w:t>»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F78D7" w:rsidRPr="00AF78D7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0031A3" w:rsidRPr="000031A3">
        <w:rPr>
          <w:rFonts w:ascii="Times New Roman" w:hAnsi="Times New Roman" w:cs="Times New Roman"/>
          <w:sz w:val="28"/>
          <w:szCs w:val="28"/>
        </w:rPr>
        <w:t>Белогорский район, с. Зеленогорское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7F2BC6">
        <w:rPr>
          <w:rFonts w:ascii="Times New Roman" w:hAnsi="Times New Roman" w:cs="Times New Roman"/>
          <w:sz w:val="28"/>
          <w:szCs w:val="28"/>
        </w:rPr>
        <w:t>ГУП РК «Вода Крыма»: </w:t>
      </w:r>
      <w:hyperlink dor:id="rId4" w:history="1">
        <w:r w:rsidR="007F2BC6" w:rsidRPr="00303192">
          <w:rPr>
            <w:rStyle w:val="a5"/>
            <w:sz w:val="28"/>
            <w:szCs w:val="28"/>
          </w:rPr>
          <w:t>smr.uks@voda-crimea.ru</w:t>
        </w:r>
      </w:hyperlink>
      <w:r w:rsidR="007F2BC6">
        <w:rPr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02</w:t>
      </w:r>
      <w:r w:rsidR="007F2BC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031A3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031A3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7F2BC6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AF78D7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60A53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629A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-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2026-01-29T11:00:00Z</cp:lastPrinted>
  <dcterms:created xsi:type="dcterms:W3CDTF">2026-02-17T07:03:00Z</dcterms:created>
  <dcterms:modified xsi:type="dcterms:W3CDTF">2026-10-01T13:36:00Z</dcterms:modified>
</cp:coreProperties>
</file>